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Amicus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04/24/2026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Glazer Capital,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Paul J. Glazer</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42"/>
        <w:gridCol w:w="8908"/>
        <w:gridCol w:w="155"/>
      </w:tblGrid>
      <w:tr>
        <w:trPr/>
        <w:tc>
          <w:tcPr>
            <w:tcW w:w="1142" w:type="dxa"/>
            <w:tcBorders/>
            <w:vAlign w:val="center"/>
          </w:tcPr>
          <w:p>
            <w:pPr>
              <w:pStyle w:val="TableContents"/>
              <w:bidi w:val="0"/>
              <w:spacing w:before="0" w:after="283"/>
              <w:jc w:val="left"/>
              <w:rPr/>
            </w:pPr>
            <w:r>
              <w:rPr/>
              <w:t>Item 1.</w:t>
            </w:r>
          </w:p>
        </w:tc>
        <w:tc>
          <w:tcPr>
            <w:tcW w:w="890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(a)</w:t>
            </w:r>
          </w:p>
        </w:tc>
        <w:tc>
          <w:tcPr>
            <w:tcW w:w="8908" w:type="dxa"/>
            <w:tcBorders/>
            <w:vAlign w:val="center"/>
          </w:tcPr>
          <w:p>
            <w:pPr>
              <w:pStyle w:val="TableContents"/>
              <w:bidi w:val="0"/>
              <w:jc w:val="left"/>
              <w:rPr/>
            </w:pPr>
            <w:r>
              <w:rPr/>
              <w:t xml:space="preserve">Name of issuer: </w:t>
            </w:r>
          </w:p>
          <w:p>
            <w:pPr>
              <w:pStyle w:val="TableContents"/>
              <w:bidi w:val="0"/>
              <w:spacing w:before="0" w:after="0"/>
              <w:jc w:val="left"/>
              <w:rPr/>
            </w:pPr>
            <w:r>
              <w:rPr/>
              <w:t>Amicus Therapeutics, Inc.</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(b)</w:t>
            </w:r>
          </w:p>
        </w:tc>
        <w:tc>
          <w:tcPr>
            <w:tcW w:w="890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47 Hulfish Street, Princeton, NJ 08542</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2.</w:t>
            </w:r>
          </w:p>
        </w:tc>
        <w:tc>
          <w:tcPr>
            <w:tcW w:w="890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(a)</w:t>
            </w:r>
          </w:p>
        </w:tc>
        <w:tc>
          <w:tcPr>
            <w:tcW w:w="8908"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(i) Glazer Capital, LLC, a Delaware limited liability company ("Glazer Capital"), with respect to the shares of Common Stock (as defined in Item 2(d)) held by certain funds and managed accounts to which Glazer Capital serves as investment manager (collectively, the "Glazer Funds"); and (ii) Mr. Paul J. Glazer ("Mr. Glazer"), who serves as the Managing Member of Glazer Capital, with respect to the shares of Common Stock held by the Glazer Funds. The foregoing persons are hereinafter sometimes collectively referred to as the "Reporting Persons." The filing of this statement should not be construed as an admission that any of the Reporting Persons is, for the purposes of Section 13 of the Act, the beneficial owner of the shares of Common Stock (as defined in Item 2(d)) reported herein.</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(b)</w:t>
            </w:r>
          </w:p>
        </w:tc>
        <w:tc>
          <w:tcPr>
            <w:tcW w:w="890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business office of each of the Reporting Persons is 250 West 55th Street, Suite 30A, New York, New York 10019.</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(c)</w:t>
            </w:r>
          </w:p>
        </w:tc>
        <w:tc>
          <w:tcPr>
            <w:tcW w:w="8908" w:type="dxa"/>
            <w:tcBorders/>
            <w:vAlign w:val="center"/>
          </w:tcPr>
          <w:p>
            <w:pPr>
              <w:pStyle w:val="TableContents"/>
              <w:bidi w:val="0"/>
              <w:jc w:val="left"/>
              <w:rPr/>
            </w:pPr>
            <w:r>
              <w:rPr/>
              <w:t xml:space="preserve">Citizenship: </w:t>
            </w:r>
          </w:p>
          <w:p>
            <w:pPr>
              <w:pStyle w:val="TableContents"/>
              <w:bidi w:val="0"/>
              <w:spacing w:before="0" w:after="0"/>
              <w:jc w:val="left"/>
              <w:rPr/>
            </w:pPr>
            <w:r>
              <w:rPr/>
              <w:t>Glazer Capital is a Delaware limited liability company. Mr. Glazer is a United States citizen.</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(d)</w:t>
            </w:r>
          </w:p>
        </w:tc>
        <w:tc>
          <w:tcPr>
            <w:tcW w:w="890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(e)</w:t>
            </w:r>
          </w:p>
        </w:tc>
        <w:tc>
          <w:tcPr>
            <w:tcW w:w="890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3.</w:t>
            </w:r>
          </w:p>
        </w:tc>
        <w:tc>
          <w:tcPr>
            <w:tcW w:w="890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(a)</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(b)</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(c)</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(d)</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(e)</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(f)</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(g)</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(h)</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(j)</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(k)</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9063" w:type="dxa"/>
            <w:gridSpan w:val="2"/>
            <w:tcBorders/>
            <w:vAlign w:val="center"/>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4.</w:t>
            </w:r>
          </w:p>
        </w:tc>
        <w:tc>
          <w:tcPr>
            <w:tcW w:w="890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(a)</w:t>
            </w:r>
          </w:p>
        </w:tc>
        <w:tc>
          <w:tcPr>
            <w:tcW w:w="890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0</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(b)</w:t>
            </w:r>
          </w:p>
        </w:tc>
        <w:tc>
          <w:tcPr>
            <w:tcW w:w="890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0  %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(c)</w:t>
            </w:r>
          </w:p>
        </w:tc>
        <w:tc>
          <w:tcPr>
            <w:tcW w:w="890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5.</w:t>
            </w:r>
          </w:p>
        </w:tc>
        <w:tc>
          <w:tcPr>
            <w:tcW w:w="890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0"/>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6.</w:t>
            </w:r>
          </w:p>
        </w:tc>
        <w:tc>
          <w:tcPr>
            <w:tcW w:w="890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Reporting Persons may have been deemed to beneficially own more than 5% of the outstanding shares on the date of event that required the filing of the Schedule 13G. As of the date hereof, the Reporting Persons have ceased to be the beneficial owner of more than five percent of the class of securities.</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7.</w:t>
            </w:r>
          </w:p>
        </w:tc>
        <w:tc>
          <w:tcPr>
            <w:tcW w:w="890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8.</w:t>
            </w:r>
          </w:p>
        </w:tc>
        <w:tc>
          <w:tcPr>
            <w:tcW w:w="890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9.</w:t>
            </w:r>
          </w:p>
        </w:tc>
        <w:tc>
          <w:tcPr>
            <w:tcW w:w="890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472" w:type="dxa"/>
        <w:jc w:val="left"/>
        <w:tblInd w:w="0" w:type="dxa"/>
        <w:tblLayout w:type="fixed"/>
        <w:tblCellMar>
          <w:top w:w="28" w:type="dxa"/>
          <w:left w:w="28" w:type="dxa"/>
          <w:bottom w:w="28" w:type="dxa"/>
          <w:right w:w="28" w:type="dxa"/>
        </w:tblCellMar>
      </w:tblPr>
      <w:tblGrid>
        <w:gridCol w:w="2236"/>
        <w:gridCol w:w="2236"/>
      </w:tblGrid>
      <w:tr>
        <w:trPr/>
        <w:tc>
          <w:tcPr>
            <w:tcW w:w="2236" w:type="dxa"/>
            <w:tcBorders/>
            <w:vAlign w:val="center"/>
          </w:tcPr>
          <w:p>
            <w:pPr>
              <w:pStyle w:val="TableContents"/>
              <w:bidi w:val="0"/>
              <w:spacing w:before="0" w:after="0"/>
              <w:jc w:val="left"/>
              <w:rPr/>
            </w:pPr>
            <w:r>
              <w:rPr/>
              <w:t> </w:t>
            </w:r>
          </w:p>
          <w:tbl>
            <w:tblPr>
              <w:tblW w:w="2116" w:type="dxa"/>
              <w:jc w:val="left"/>
              <w:tblInd w:w="0" w:type="dxa"/>
              <w:tblLayout w:type="fixed"/>
              <w:tblCellMar>
                <w:top w:w="28" w:type="dxa"/>
                <w:left w:w="28" w:type="dxa"/>
                <w:bottom w:w="28" w:type="dxa"/>
                <w:right w:w="28" w:type="dxa"/>
              </w:tblCellMar>
            </w:tblPr>
            <w:tblGrid>
              <w:gridCol w:w="2116"/>
            </w:tblGrid>
            <w:tr>
              <w:trPr/>
              <w:tc>
                <w:tcPr>
                  <w:tcW w:w="2116" w:type="dxa"/>
                  <w:tcBorders/>
                  <w:vAlign w:val="center"/>
                </w:tcPr>
                <w:p>
                  <w:pPr>
                    <w:pStyle w:val="TableContents"/>
                    <w:bidi w:val="0"/>
                    <w:spacing w:before="0" w:after="0"/>
                    <w:jc w:val="left"/>
                    <w:rPr/>
                  </w:pPr>
                  <w:r>
                    <w:rPr/>
                    <w:t>Glazer Capital, LLC</w:t>
                  </w:r>
                </w:p>
              </w:tc>
            </w:tr>
          </w:tbl>
          <w:p>
            <w:pPr>
              <w:pStyle w:val="TableContents"/>
              <w:bidi w:val="0"/>
              <w:spacing w:before="0" w:after="283"/>
              <w:jc w:val="left"/>
              <w:rPr/>
            </w:pPr>
            <w:r>
              <w:rPr/>
            </w:r>
          </w:p>
        </w:tc>
        <w:tc>
          <w:tcPr>
            <w:tcW w:w="223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7"/>
        <w:gridCol w:w="4398"/>
      </w:tblGrid>
      <w:tr>
        <w:trPr/>
        <w:tc>
          <w:tcPr>
            <w:tcW w:w="580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Paul J. Glazer</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Paul J. Glazer, Managing Member</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05/01/2026</w:t>
                  </w:r>
                </w:p>
              </w:tc>
            </w:tr>
          </w:tbl>
          <w:p>
            <w:pPr>
              <w:pStyle w:val="TableContents"/>
              <w:bidi w:val="0"/>
              <w:spacing w:before="0" w:after="283"/>
              <w:jc w:val="left"/>
              <w:rPr/>
            </w:pPr>
            <w:r>
              <w:rPr/>
            </w:r>
          </w:p>
        </w:tc>
        <w:tc>
          <w:tcPr>
            <w:tcW w:w="4398" w:type="dxa"/>
            <w:tcBorders/>
            <w:vAlign w:val="center"/>
          </w:tcPr>
          <w:p>
            <w:pPr>
              <w:pStyle w:val="TableContents"/>
              <w:bidi w:val="0"/>
              <w:spacing w:before="0" w:after="283"/>
              <w:jc w:val="left"/>
              <w:rPr>
                <w:sz w:val="4"/>
                <w:szCs w:val="4"/>
              </w:rPr>
            </w:pPr>
            <w:r>
              <w:rPr>
                <w:sz w:val="4"/>
                <w:szCs w:val="4"/>
              </w:rPr>
            </w:r>
          </w:p>
        </w:tc>
      </w:tr>
    </w:tbl>
    <w:tbl>
      <w:tblPr>
        <w:tblW w:w="3224" w:type="dxa"/>
        <w:jc w:val="left"/>
        <w:tblInd w:w="0" w:type="dxa"/>
        <w:tblLayout w:type="fixed"/>
        <w:tblCellMar>
          <w:top w:w="28" w:type="dxa"/>
          <w:left w:w="28" w:type="dxa"/>
          <w:bottom w:w="28" w:type="dxa"/>
          <w:right w:w="28" w:type="dxa"/>
        </w:tblCellMar>
      </w:tblPr>
      <w:tblGrid>
        <w:gridCol w:w="1612"/>
        <w:gridCol w:w="1612"/>
      </w:tblGrid>
      <w:tr>
        <w:trPr/>
        <w:tc>
          <w:tcPr>
            <w:tcW w:w="1612" w:type="dxa"/>
            <w:tcBorders/>
            <w:vAlign w:val="center"/>
          </w:tcPr>
          <w:p>
            <w:pPr>
              <w:pStyle w:val="TableContents"/>
              <w:bidi w:val="0"/>
              <w:spacing w:before="0" w:after="0"/>
              <w:jc w:val="left"/>
              <w:rPr/>
            </w:pPr>
            <w:r>
              <w:rPr/>
              <w:t> </w:t>
            </w:r>
          </w:p>
          <w:tbl>
            <w:tblPr>
              <w:tblW w:w="1486" w:type="dxa"/>
              <w:jc w:val="left"/>
              <w:tblInd w:w="0" w:type="dxa"/>
              <w:tblLayout w:type="fixed"/>
              <w:tblCellMar>
                <w:top w:w="28" w:type="dxa"/>
                <w:left w:w="28" w:type="dxa"/>
                <w:bottom w:w="28" w:type="dxa"/>
                <w:right w:w="28" w:type="dxa"/>
              </w:tblCellMar>
            </w:tblPr>
            <w:tblGrid>
              <w:gridCol w:w="1486"/>
            </w:tblGrid>
            <w:tr>
              <w:trPr/>
              <w:tc>
                <w:tcPr>
                  <w:tcW w:w="1486" w:type="dxa"/>
                  <w:tcBorders/>
                  <w:vAlign w:val="center"/>
                </w:tcPr>
                <w:p>
                  <w:pPr>
                    <w:pStyle w:val="TableContents"/>
                    <w:bidi w:val="0"/>
                    <w:spacing w:before="0" w:after="0"/>
                    <w:jc w:val="left"/>
                    <w:rPr/>
                  </w:pPr>
                  <w:r>
                    <w:rPr/>
                    <w:t>Paul J. Glazer</w:t>
                  </w:r>
                </w:p>
              </w:tc>
            </w:tr>
          </w:tbl>
          <w:p>
            <w:pPr>
              <w:pStyle w:val="TableContents"/>
              <w:bidi w:val="0"/>
              <w:spacing w:before="0" w:after="283"/>
              <w:jc w:val="left"/>
              <w:rPr/>
            </w:pPr>
            <w:r>
              <w:rPr/>
            </w:r>
          </w:p>
        </w:tc>
        <w:tc>
          <w:tcPr>
            <w:tcW w:w="161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42"/>
        <w:gridCol w:w="4463"/>
      </w:tblGrid>
      <w:tr>
        <w:trPr/>
        <w:tc>
          <w:tcPr>
            <w:tcW w:w="57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Paul J. Glazer</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Paul J. Glazer</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05/01/2026</w:t>
                  </w:r>
                </w:p>
              </w:tc>
            </w:tr>
          </w:tbl>
          <w:p>
            <w:pPr>
              <w:pStyle w:val="TableContents"/>
              <w:bidi w:val="0"/>
              <w:spacing w:before="0" w:after="283"/>
              <w:jc w:val="left"/>
              <w:rPr/>
            </w:pPr>
            <w:r>
              <w:rPr/>
            </w:r>
          </w:p>
        </w:tc>
        <w:tc>
          <w:tcPr>
            <w:tcW w:w="44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1160</Words>
  <Characters>5783</Characters>
  <CharactersWithSpaces>6917</CharactersWithSpaces>
  <Paragraphs>208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